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RETEKESS </w:t>
      </w:r>
      <w:r>
        <w:rPr>
          <w:rFonts w:hint="default" w:ascii="Arial" w:hAnsi="Arial" w:cs="Arial"/>
          <w:b/>
          <w:bCs/>
          <w:sz w:val="28"/>
          <w:szCs w:val="28"/>
        </w:rPr>
        <w:t>Пейджинговая система</w:t>
      </w: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</w:rPr>
        <w:t>Руководство пользователя</w:t>
      </w:r>
    </w:p>
    <w:p>
      <w:pPr>
        <w:jc w:val="center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TD158</w:t>
      </w:r>
    </w:p>
    <w:bookmarkEnd w:id="0"/>
    <w:p>
      <w:pPr>
        <w:jc w:val="center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</w:p>
    <w:p>
      <w:r>
        <w:drawing>
          <wp:inline distT="0" distB="0" distL="114300" distR="114300">
            <wp:extent cx="5270500" cy="26657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Внедрение продукции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Благодарим вас за использование системы оповещения Retekess, она использует беспроводную радиочастотную технологию. Гость TD158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Пейджинговая система состоит из 1 клавишного передатчика и 10 подстаканников. К каждому передатчику с клавиатурой можно подключить до 999 пейджеров. Широко используется в ресторанах быстрого питания, кофейнях, пиццерии.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магазины, магазины 4S, церкви и другие места, где много гостей ждут своих услуг.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Система повышает общую эффективность и уровень обслуживания, снижает трудозатраты и улучшает имидж.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КАК ПОЛЬЗОВАТЬСЯ СИСТЕМОЙ ПЕЙДЖИНГА?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1) Гости приходят в ресторан и делают заказ. Официант выдает каждому гостю пейджер для подставок;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на каждом пейджере есть номер (№ 1 ~ 999).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2) Когда заказ будет прочитан, официант у прилавка нажмет номер на передатчике.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Соответствующий гость получает беспроводной сигнал посредством вибрации своего каботажного пейджера, мигания светодиода или</w:t>
      </w:r>
    </w:p>
    <w:p>
      <w:pPr>
        <w:rPr>
          <w:rFonts w:hint="eastAsia"/>
        </w:rPr>
      </w:pPr>
      <w:r>
        <w:rPr>
          <w:rFonts w:hint="default" w:ascii="Arial" w:hAnsi="Arial" w:cs="Arial"/>
        </w:rPr>
        <w:t xml:space="preserve">  пищит, затем он знает, что заказ готов, и идет к прилавку, чтобы взять свою еду</w:t>
      </w:r>
      <w:r>
        <w:rPr>
          <w:rFonts w:hint="eastAsia"/>
        </w:rPr>
        <w:t>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Параметры</w:t>
      </w:r>
    </w:p>
    <w:tbl>
      <w:tblPr>
        <w:tblStyle w:val="2"/>
        <w:tblW w:w="0" w:type="auto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236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380" w:type="dxa"/>
            <w:gridSpan w:val="2"/>
          </w:tcPr>
          <w:p>
            <w:pPr>
              <w:pStyle w:val="4"/>
              <w:spacing w:before="46"/>
              <w:ind w:left="1970" w:right="1967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Пейджер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2" w:type="dxa"/>
          </w:tcPr>
          <w:p>
            <w:pPr>
              <w:pStyle w:val="4"/>
              <w:spacing w:before="45"/>
              <w:rPr>
                <w:sz w:val="14"/>
              </w:rPr>
            </w:pPr>
            <w:r>
              <w:rPr>
                <w:rFonts w:hint="eastAsia"/>
                <w:sz w:val="14"/>
              </w:rPr>
              <w:t>Рабочее напряжение</w:t>
            </w:r>
          </w:p>
        </w:tc>
        <w:tc>
          <w:tcPr>
            <w:tcW w:w="2368" w:type="dxa"/>
          </w:tcPr>
          <w:p>
            <w:pPr>
              <w:pStyle w:val="4"/>
              <w:spacing w:before="45"/>
              <w:ind w:left="113"/>
              <w:rPr>
                <w:sz w:val="14"/>
              </w:rPr>
            </w:pPr>
            <w:r>
              <w:rPr>
                <w:rFonts w:hint="eastAsia"/>
                <w:sz w:val="14"/>
              </w:rPr>
              <w:t>3,7 В постоянного тока (аккумулятор)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2" w:type="dxa"/>
          </w:tcPr>
          <w:p>
            <w:pPr>
              <w:pStyle w:val="4"/>
              <w:spacing w:before="44"/>
              <w:rPr>
                <w:sz w:val="14"/>
              </w:rPr>
            </w:pPr>
            <w:r>
              <w:rPr>
                <w:rFonts w:hint="eastAsia"/>
                <w:sz w:val="14"/>
              </w:rPr>
              <w:t>Частота приема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231F20"/>
                <w:kern w:val="0"/>
                <w:sz w:val="22"/>
                <w:szCs w:val="22"/>
                <w:lang w:val="en-US" w:eastAsia="zh-CN" w:bidi="ar"/>
              </w:rPr>
              <w:t>433MHz</w:t>
            </w:r>
          </w:p>
          <w:p>
            <w:pPr>
              <w:pStyle w:val="4"/>
              <w:spacing w:before="44"/>
              <w:ind w:left="113"/>
              <w:rPr>
                <w:sz w:val="1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2" w:type="dxa"/>
          </w:tcPr>
          <w:p>
            <w:pPr>
              <w:pStyle w:val="4"/>
              <w:spacing w:before="44"/>
              <w:rPr>
                <w:sz w:val="14"/>
              </w:rPr>
            </w:pPr>
            <w:r>
              <w:rPr>
                <w:rFonts w:hint="eastAsia"/>
                <w:sz w:val="14"/>
              </w:rPr>
              <w:t>Резервный ток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231F20"/>
                <w:kern w:val="0"/>
                <w:sz w:val="22"/>
                <w:szCs w:val="22"/>
                <w:lang w:val="en-US" w:eastAsia="zh-CN" w:bidi="ar"/>
              </w:rPr>
              <w:t>10mA</w:t>
            </w:r>
          </w:p>
          <w:p>
            <w:pPr>
              <w:pStyle w:val="4"/>
              <w:spacing w:before="44"/>
              <w:ind w:left="113"/>
              <w:rPr>
                <w:sz w:val="1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12" w:type="dxa"/>
          </w:tcPr>
          <w:p>
            <w:pPr>
              <w:pStyle w:val="4"/>
              <w:spacing w:before="43"/>
              <w:rPr>
                <w:sz w:val="14"/>
              </w:rPr>
            </w:pPr>
            <w:r>
              <w:rPr>
                <w:rFonts w:hint="eastAsia"/>
                <w:sz w:val="14"/>
              </w:rPr>
              <w:t>Время ожидания</w:t>
            </w:r>
          </w:p>
        </w:tc>
        <w:tc>
          <w:tcPr>
            <w:tcW w:w="2368" w:type="dxa"/>
          </w:tcPr>
          <w:p>
            <w:pPr>
              <w:pStyle w:val="4"/>
              <w:spacing w:before="43"/>
              <w:ind w:left="113"/>
              <w:rPr>
                <w:sz w:val="14"/>
              </w:rPr>
            </w:pPr>
            <w:r>
              <w:rPr>
                <w:rFonts w:hint="eastAsia"/>
                <w:sz w:val="14"/>
              </w:rPr>
              <w:t>12 часов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12" w:type="dxa"/>
          </w:tcPr>
          <w:p>
            <w:pPr>
              <w:pStyle w:val="4"/>
              <w:spacing w:before="42"/>
              <w:rPr>
                <w:sz w:val="14"/>
              </w:rPr>
            </w:pPr>
            <w:r>
              <w:rPr>
                <w:rFonts w:hint="eastAsia"/>
                <w:sz w:val="14"/>
              </w:rPr>
              <w:t>Чувствительность приема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231F20"/>
                <w:kern w:val="0"/>
                <w:sz w:val="22"/>
                <w:szCs w:val="22"/>
                <w:lang w:val="en-US" w:eastAsia="zh-CN" w:bidi="ar"/>
              </w:rPr>
              <w:t>-103DB</w:t>
            </w:r>
          </w:p>
          <w:p>
            <w:pPr>
              <w:pStyle w:val="4"/>
              <w:spacing w:before="42"/>
              <w:ind w:left="113"/>
              <w:rPr>
                <w:sz w:val="1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12" w:type="dxa"/>
          </w:tcPr>
          <w:p>
            <w:pPr>
              <w:pStyle w:val="4"/>
              <w:spacing w:before="42"/>
              <w:rPr>
                <w:sz w:val="14"/>
              </w:rPr>
            </w:pPr>
            <w:r>
              <w:rPr>
                <w:rFonts w:hint="eastAsia"/>
                <w:sz w:val="14"/>
              </w:rPr>
              <w:t>Емкость батареи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231F20"/>
                <w:kern w:val="0"/>
                <w:sz w:val="22"/>
                <w:szCs w:val="22"/>
                <w:lang w:val="en-US" w:eastAsia="zh-CN" w:bidi="ar"/>
              </w:rPr>
              <w:t>300mAh</w:t>
            </w:r>
          </w:p>
          <w:p>
            <w:pPr>
              <w:pStyle w:val="4"/>
              <w:ind w:left="113"/>
              <w:rPr>
                <w:sz w:val="1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12" w:type="dxa"/>
          </w:tcPr>
          <w:p>
            <w:pPr>
              <w:pStyle w:val="4"/>
              <w:rPr>
                <w:sz w:val="14"/>
              </w:rPr>
            </w:pPr>
            <w:r>
              <w:rPr>
                <w:rFonts w:hint="eastAsia"/>
                <w:sz w:val="14"/>
              </w:rPr>
              <w:t>Технология модуляции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231F20"/>
                <w:kern w:val="0"/>
                <w:sz w:val="22"/>
                <w:szCs w:val="22"/>
                <w:lang w:val="en-US" w:eastAsia="zh-CN" w:bidi="ar"/>
              </w:rPr>
              <w:t>AM</w:t>
            </w:r>
          </w:p>
          <w:p>
            <w:pPr>
              <w:pStyle w:val="4"/>
              <w:spacing w:before="40"/>
              <w:ind w:left="113"/>
              <w:rPr>
                <w:sz w:val="1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2" w:type="dxa"/>
          </w:tcPr>
          <w:p>
            <w:pPr>
              <w:pStyle w:val="4"/>
              <w:rPr>
                <w:sz w:val="14"/>
              </w:rPr>
            </w:pPr>
            <w:r>
              <w:rPr>
                <w:rFonts w:hint="eastAsia"/>
                <w:sz w:val="14"/>
              </w:rPr>
              <w:t>Размер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231F20"/>
                <w:kern w:val="0"/>
                <w:sz w:val="22"/>
                <w:szCs w:val="22"/>
                <w:lang w:val="en-US" w:eastAsia="zh-CN" w:bidi="ar"/>
              </w:rPr>
              <w:t>80.5*15mm</w:t>
            </w:r>
          </w:p>
          <w:p>
            <w:pPr>
              <w:pStyle w:val="4"/>
              <w:ind w:left="113"/>
              <w:rPr>
                <w:sz w:val="14"/>
              </w:rPr>
            </w:pPr>
          </w:p>
        </w:tc>
      </w:tr>
    </w:tbl>
    <w:p>
      <w:pPr>
        <w:jc w:val="left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129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66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932" w:type="dxa"/>
            <w:gridSpan w:val="2"/>
          </w:tcPr>
          <w:p>
            <w:pPr>
              <w:pStyle w:val="4"/>
              <w:spacing w:before="46"/>
              <w:ind w:left="1970" w:right="1965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Передатчик клавиатуры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66" w:type="dxa"/>
          </w:tcPr>
          <w:p>
            <w:pPr>
              <w:pStyle w:val="4"/>
              <w:spacing w:before="45"/>
              <w:rPr>
                <w:sz w:val="14"/>
              </w:rPr>
            </w:pPr>
            <w:r>
              <w:rPr>
                <w:rFonts w:hint="eastAsia"/>
                <w:sz w:val="14"/>
              </w:rPr>
              <w:t>Измерение</w:t>
            </w:r>
          </w:p>
        </w:tc>
        <w:tc>
          <w:tcPr>
            <w:tcW w:w="2666" w:type="dxa"/>
          </w:tcPr>
          <w:p>
            <w:pPr>
              <w:pStyle w:val="4"/>
              <w:spacing w:before="45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162*98*40mm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66" w:type="dxa"/>
          </w:tcPr>
          <w:p>
            <w:pPr>
              <w:pStyle w:val="4"/>
              <w:spacing w:before="44"/>
              <w:rPr>
                <w:sz w:val="14"/>
              </w:rPr>
            </w:pPr>
            <w:r>
              <w:rPr>
                <w:rFonts w:hint="eastAsia"/>
                <w:sz w:val="14"/>
              </w:rPr>
              <w:t>Материал корпуса</w:t>
            </w:r>
          </w:p>
        </w:tc>
        <w:tc>
          <w:tcPr>
            <w:tcW w:w="2666" w:type="dxa"/>
          </w:tcPr>
          <w:p>
            <w:pPr>
              <w:pStyle w:val="4"/>
              <w:spacing w:before="44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abs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66" w:type="dxa"/>
          </w:tcPr>
          <w:p>
            <w:pPr>
              <w:pStyle w:val="4"/>
              <w:spacing w:before="44"/>
              <w:rPr>
                <w:sz w:val="14"/>
              </w:rPr>
            </w:pPr>
            <w:r>
              <w:rPr>
                <w:rFonts w:hint="eastAsia"/>
                <w:sz w:val="14"/>
              </w:rPr>
              <w:t>Передающая мощность</w:t>
            </w:r>
          </w:p>
        </w:tc>
        <w:tc>
          <w:tcPr>
            <w:tcW w:w="2666" w:type="dxa"/>
          </w:tcPr>
          <w:p>
            <w:pPr>
              <w:pStyle w:val="4"/>
              <w:spacing w:before="44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400mW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66" w:type="dxa"/>
          </w:tcPr>
          <w:p>
            <w:pPr>
              <w:pStyle w:val="4"/>
              <w:spacing w:before="43"/>
              <w:rPr>
                <w:sz w:val="14"/>
              </w:rPr>
            </w:pPr>
            <w:r>
              <w:rPr>
                <w:rFonts w:hint="eastAsia"/>
                <w:sz w:val="14"/>
              </w:rPr>
              <w:t>Резервная мощность</w:t>
            </w:r>
          </w:p>
        </w:tc>
        <w:tc>
          <w:tcPr>
            <w:tcW w:w="2666" w:type="dxa"/>
          </w:tcPr>
          <w:p>
            <w:pPr>
              <w:pStyle w:val="4"/>
              <w:spacing w:before="43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600mW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66" w:type="dxa"/>
          </w:tcPr>
          <w:p>
            <w:pPr>
              <w:pStyle w:val="4"/>
              <w:spacing w:before="42"/>
              <w:rPr>
                <w:sz w:val="14"/>
              </w:rPr>
            </w:pPr>
            <w:r>
              <w:rPr>
                <w:rFonts w:hint="eastAsia"/>
                <w:sz w:val="14"/>
              </w:rPr>
              <w:t>Максимум. Мощность</w:t>
            </w:r>
          </w:p>
        </w:tc>
        <w:tc>
          <w:tcPr>
            <w:tcW w:w="2666" w:type="dxa"/>
          </w:tcPr>
          <w:p>
            <w:pPr>
              <w:pStyle w:val="4"/>
              <w:spacing w:before="42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1W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66" w:type="dxa"/>
          </w:tcPr>
          <w:p>
            <w:pPr>
              <w:pStyle w:val="4"/>
              <w:spacing w:before="42"/>
              <w:rPr>
                <w:sz w:val="14"/>
              </w:rPr>
            </w:pPr>
            <w:r>
              <w:rPr>
                <w:rFonts w:hint="eastAsia"/>
                <w:sz w:val="14"/>
              </w:rPr>
              <w:t>Частота передачи</w:t>
            </w:r>
          </w:p>
        </w:tc>
        <w:tc>
          <w:tcPr>
            <w:tcW w:w="2666" w:type="dxa"/>
          </w:tcPr>
          <w:p>
            <w:pPr>
              <w:pStyle w:val="4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424.8-469.025MHZ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66" w:type="dxa"/>
          </w:tcPr>
          <w:p>
            <w:pPr>
              <w:pStyle w:val="4"/>
              <w:rPr>
                <w:sz w:val="14"/>
              </w:rPr>
            </w:pPr>
            <w:r>
              <w:rPr>
                <w:rFonts w:hint="eastAsia"/>
                <w:sz w:val="14"/>
              </w:rPr>
              <w:t>Источник питания</w:t>
            </w:r>
          </w:p>
        </w:tc>
        <w:tc>
          <w:tcPr>
            <w:tcW w:w="2666" w:type="dxa"/>
          </w:tcPr>
          <w:p>
            <w:pPr>
              <w:pStyle w:val="4"/>
              <w:spacing w:before="40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12V/1A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66" w:type="dxa"/>
          </w:tcPr>
          <w:p>
            <w:pPr>
              <w:pStyle w:val="4"/>
              <w:rPr>
                <w:sz w:val="14"/>
              </w:rPr>
            </w:pPr>
            <w:r>
              <w:rPr>
                <w:rFonts w:hint="eastAsia"/>
                <w:sz w:val="14"/>
              </w:rPr>
              <w:t>Метод нажатия клавиш</w:t>
            </w:r>
          </w:p>
        </w:tc>
        <w:tc>
          <w:tcPr>
            <w:tcW w:w="2666" w:type="dxa"/>
          </w:tcPr>
          <w:p>
            <w:pPr>
              <w:pStyle w:val="4"/>
              <w:ind w:left="113"/>
              <w:rPr>
                <w:sz w:val="14"/>
              </w:rPr>
            </w:pPr>
            <w:r>
              <w:rPr>
                <w:rFonts w:hint="eastAsia"/>
                <w:sz w:val="14"/>
              </w:rPr>
              <w:t>Нажатие клавиши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66" w:type="dxa"/>
          </w:tcPr>
          <w:p>
            <w:pPr>
              <w:pStyle w:val="4"/>
              <w:spacing w:before="40"/>
              <w:rPr>
                <w:sz w:val="14"/>
              </w:rPr>
            </w:pPr>
            <w:r>
              <w:rPr>
                <w:rFonts w:hint="eastAsia"/>
                <w:sz w:val="14"/>
              </w:rPr>
              <w:t>Модуляция</w:t>
            </w:r>
          </w:p>
        </w:tc>
        <w:tc>
          <w:tcPr>
            <w:tcW w:w="2666" w:type="dxa"/>
          </w:tcPr>
          <w:p>
            <w:pPr>
              <w:pStyle w:val="4"/>
              <w:spacing w:before="40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FM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E6404"/>
    <w:rsid w:val="194E6404"/>
    <w:rsid w:val="7B6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41"/>
      <w:ind w:left="10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1351</Characters>
  <Lines>0</Lines>
  <Paragraphs>0</Paragraphs>
  <TotalTime>181</TotalTime>
  <ScaleCrop>false</ScaleCrop>
  <LinksUpToDate>false</LinksUpToDate>
  <CharactersWithSpaces>1509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2021-05-10T03:54:00Z</dcterms:created>
  <dc:creator>QQ1401549377</dc:creator>
  <cp:lastModifiedBy>QQ1401549377</cp:lastModifiedBy>
  <dcterms:modified xsi:type="dcterms:W3CDTF">2022-09-23T10:12:13Z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EB16C2049C2744FAA91D488D6FB37AC4</vt:lpwstr>
  </property>
</Properties>
</file>