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 w:eastAsiaTheme="minorEastAsia"/>
          <w:b/>
          <w:bCs/>
          <w:i/>
          <w:i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/>
          <w:bCs/>
          <w:i/>
          <w:iCs/>
          <w:sz w:val="28"/>
          <w:szCs w:val="28"/>
          <w:lang w:val="en-US" w:eastAsia="zh-CN"/>
        </w:rPr>
        <w:t>Русскоязычное руководство пользователя для RETEKESS T113S</w:t>
      </w:r>
    </w:p>
    <w:p>
      <w:pPr>
        <w:jc w:val="center"/>
        <w:rPr>
          <w:rFonts w:hint="default" w:ascii="Arial" w:hAnsi="Arial" w:cs="Arial" w:eastAsiaTheme="minorEastAsia"/>
          <w:b/>
          <w:bCs/>
          <w:i/>
          <w:iCs/>
          <w:sz w:val="28"/>
          <w:szCs w:val="28"/>
          <w:lang w:val="en-US" w:eastAsia="zh-CN"/>
        </w:rPr>
      </w:pPr>
    </w:p>
    <w:p>
      <w:pPr>
        <w:jc w:val="center"/>
        <w:rPr>
          <w:rFonts w:hint="default" w:ascii="Arial" w:hAnsi="Arial" w:cs="Arial" w:eastAsiaTheme="minorEastAsia"/>
          <w:b w:val="0"/>
          <w:bCs w:val="0"/>
          <w:i/>
          <w:i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42094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>Руководство пользователя Беспроводной системы очереди Retekess T113S</w:t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jc w:val="both"/>
        <w:rPr>
          <w:rFonts w:hint="default" w:ascii="Arial" w:hAnsi="Arial" w:cs="Arial" w:eastAsia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sz w:val="28"/>
          <w:szCs w:val="28"/>
          <w:lang w:val="en-US" w:eastAsia="zh-CN"/>
        </w:rPr>
        <w:t>Резюме</w:t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  <w:t>Спасибо, что выбрали беспроводную пейджинговую систему оповещения клиентов. Данная система использует технологию беспроводной радиосвязи с миллионами разных обучаемых кодов. Система включает в себя 99</w:t>
      </w:r>
      <w:r>
        <w:rPr>
          <w:rFonts w:hint="eastAsia" w:ascii="Arial" w:hAnsi="Arial" w:cs="Arial"/>
          <w:b w:val="0"/>
          <w:bCs w:val="0"/>
          <w:i w:val="0"/>
          <w:iCs w:val="0"/>
          <w:sz w:val="21"/>
          <w:szCs w:val="21"/>
          <w:lang w:val="en-US" w:eastAsia="zh-CN"/>
        </w:rPr>
        <w:t>6</w:t>
      </w:r>
      <w:r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-канальную кнопочную панель, обладает портативными приемниками со звуковым сигналом и вибрацией. В системе расположены 16 слотов для зарядки батареи. Каждый приемник пронумерован и оснащен перезаряжаемой батареей. В режиме ожидания он подключен в слот зарядки, когда клиент делает заказ, то он получает один из приемников с номером. Когда заказ готов, наберите на кнопочной панели номер приемника, приемник клиента завибрирует/издаст звуковой сигнал/активизируется светодиодная подсветка.  </w:t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  <w:t>Система управления очередью повышает эффективность работы и убирает необходимость долгого ожидания в очереди. Она широко используется в заведениях фаст-фуд, ресторанах и кафе, а также других местах, где бывают очереди.</w:t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Характеристики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99</w:t>
      </w:r>
      <w:r>
        <w:rPr>
          <w:rFonts w:hint="eastAsia" w:ascii="Arial" w:hAnsi="Arial" w:cs="Arial"/>
          <w:lang w:val="en-US" w:eastAsia="zh-CN"/>
        </w:rPr>
        <w:t>6</w:t>
      </w:r>
      <w:r>
        <w:rPr>
          <w:rFonts w:hint="default" w:ascii="Arial" w:hAnsi="Arial" w:cs="Arial"/>
        </w:rPr>
        <w:t>-канальная кнопочная панель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♦ </w:t>
      </w:r>
      <w:r>
        <w:rPr>
          <w:rFonts w:hint="eastAsia" w:ascii="Arial" w:hAnsi="Arial" w:cs="Arial"/>
          <w:lang w:val="en-US" w:eastAsia="zh-CN"/>
        </w:rPr>
        <w:t>16</w:t>
      </w:r>
      <w:r>
        <w:rPr>
          <w:rFonts w:hint="default" w:ascii="Arial" w:hAnsi="Arial" w:cs="Arial"/>
        </w:rPr>
        <w:t xml:space="preserve"> слотов для заряда батареи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Портативный приемник с вибрацией и звуковым сигналом с перезаряжаемой батареей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Автономное запоминающее устройство, позволяющее избежать потери данных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Высокая приемная чувствительность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Самотестирование во время работы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♦ Красивый и модный дизайн</w:t>
      </w:r>
    </w:p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/>
          <w:color w:val="332C2A"/>
          <w:kern w:val="0"/>
          <w:sz w:val="31"/>
          <w:szCs w:val="31"/>
          <w:lang w:val="en-US" w:eastAsia="zh-CN" w:bidi="ar"/>
        </w:rPr>
        <w:t>Технические данные</w:t>
      </w:r>
    </w:p>
    <w:tbl>
      <w:tblPr>
        <w:tblStyle w:val="2"/>
        <w:tblpPr w:leftFromText="180" w:rightFromText="180" w:vertAnchor="text" w:horzAnchor="page" w:tblpX="1954" w:tblpY="107"/>
        <w:tblOverlap w:val="never"/>
        <w:tblW w:w="7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5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45" w:type="dxa"/>
            <w:gridSpan w:val="2"/>
          </w:tcPr>
          <w:p>
            <w:pPr>
              <w:pStyle w:val="4"/>
              <w:spacing w:before="38"/>
              <w:ind w:left="2751" w:right="2745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332C2A"/>
                <w:sz w:val="21"/>
                <w:szCs w:val="21"/>
              </w:rPr>
              <w:t>Приемник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81" w:type="dxa"/>
            <w:vMerge w:val="restart"/>
          </w:tcPr>
          <w:p>
            <w:pPr>
              <w:pStyle w:val="4"/>
              <w:spacing w:before="74"/>
              <w:ind w:left="405" w:right="-1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Рабочее</w:t>
            </w:r>
            <w:r>
              <w:rPr>
                <w:rFonts w:hint="default" w:ascii="Arial" w:hAnsi="Arial" w:cs="Arial"/>
                <w:color w:val="332C2A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напряжение</w:t>
            </w:r>
          </w:p>
        </w:tc>
        <w:tc>
          <w:tcPr>
            <w:tcW w:w="5164" w:type="dxa"/>
          </w:tcPr>
          <w:p>
            <w:pPr>
              <w:pStyle w:val="4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581" w:type="dxa"/>
            <w:vMerge w:val="continue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5164" w:type="dxa"/>
          </w:tcPr>
          <w:p>
            <w:pPr>
              <w:pStyle w:val="4"/>
              <w:spacing w:line="246" w:lineRule="exact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DC3,7В ((Литий-полимерный аккумулятор емкостью 200 мАч))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581" w:type="dxa"/>
          </w:tcPr>
          <w:p>
            <w:pPr>
              <w:pStyle w:val="4"/>
              <w:spacing w:before="67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Напряжение зарядки</w:t>
            </w:r>
          </w:p>
        </w:tc>
        <w:tc>
          <w:tcPr>
            <w:tcW w:w="5164" w:type="dxa"/>
          </w:tcPr>
          <w:p>
            <w:pPr>
              <w:pStyle w:val="4"/>
              <w:spacing w:before="67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DC5В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581" w:type="dxa"/>
          </w:tcPr>
          <w:p>
            <w:pPr>
              <w:pStyle w:val="4"/>
              <w:spacing w:before="104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Рабочая частота</w:t>
            </w:r>
          </w:p>
        </w:tc>
        <w:tc>
          <w:tcPr>
            <w:tcW w:w="5164" w:type="dxa"/>
          </w:tcPr>
          <w:p>
            <w:pPr>
              <w:pStyle w:val="4"/>
              <w:spacing w:before="104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433,92MГц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581" w:type="dxa"/>
            <w:shd w:val="clear" w:color="auto" w:fill="F1F1F1"/>
          </w:tcPr>
          <w:p>
            <w:pPr>
              <w:pStyle w:val="4"/>
              <w:spacing w:line="254" w:lineRule="exact"/>
              <w:ind w:left="405" w:right="76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Ток в режиме ожидания</w:t>
            </w:r>
          </w:p>
        </w:tc>
        <w:tc>
          <w:tcPr>
            <w:tcW w:w="5164" w:type="dxa"/>
          </w:tcPr>
          <w:p>
            <w:pPr>
              <w:pStyle w:val="4"/>
              <w:spacing w:before="112" w:line="234" w:lineRule="exact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10±5мA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81" w:type="dxa"/>
          </w:tcPr>
          <w:p>
            <w:pPr>
              <w:pStyle w:val="4"/>
              <w:spacing w:before="66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Рабочий ток</w:t>
            </w:r>
          </w:p>
        </w:tc>
        <w:tc>
          <w:tcPr>
            <w:tcW w:w="5164" w:type="dxa"/>
          </w:tcPr>
          <w:p>
            <w:pPr>
              <w:pStyle w:val="4"/>
              <w:spacing w:line="163" w:lineRule="exact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75±10мA (вибрация)</w:t>
            </w:r>
          </w:p>
          <w:p>
            <w:pPr>
              <w:pStyle w:val="4"/>
              <w:spacing w:before="61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100±20мA (вибрация+звуковой сигнал)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81" w:type="dxa"/>
            <w:vMerge w:val="restart"/>
          </w:tcPr>
          <w:p>
            <w:pPr>
              <w:pStyle w:val="4"/>
              <w:spacing w:before="31"/>
              <w:ind w:left="405" w:right="286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Чувствительность при приеме</w:t>
            </w:r>
          </w:p>
        </w:tc>
        <w:tc>
          <w:tcPr>
            <w:tcW w:w="5164" w:type="dxa"/>
          </w:tcPr>
          <w:p>
            <w:pPr>
              <w:pStyle w:val="4"/>
              <w:spacing w:before="156" w:line="232" w:lineRule="exact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-107±2дБм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581" w:type="dxa"/>
            <w:vMerge w:val="continue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5164" w:type="dxa"/>
          </w:tcPr>
          <w:p>
            <w:pPr>
              <w:pStyle w:val="4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581" w:type="dxa"/>
          </w:tcPr>
          <w:p>
            <w:pPr>
              <w:pStyle w:val="4"/>
              <w:spacing w:before="30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Емкость батареи</w:t>
            </w:r>
          </w:p>
        </w:tc>
        <w:tc>
          <w:tcPr>
            <w:tcW w:w="5164" w:type="dxa"/>
          </w:tcPr>
          <w:p>
            <w:pPr>
              <w:pStyle w:val="4"/>
              <w:spacing w:before="30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2C2A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мАч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581" w:type="dxa"/>
            <w:vMerge w:val="restart"/>
          </w:tcPr>
          <w:p>
            <w:pPr>
              <w:pStyle w:val="4"/>
              <w:spacing w:before="74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Декодер</w:t>
            </w:r>
          </w:p>
        </w:tc>
        <w:tc>
          <w:tcPr>
            <w:tcW w:w="5164" w:type="dxa"/>
          </w:tcPr>
          <w:p>
            <w:pPr>
              <w:pStyle w:val="4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581" w:type="dxa"/>
            <w:vMerge w:val="continue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5164" w:type="dxa"/>
          </w:tcPr>
          <w:p>
            <w:pPr>
              <w:pStyle w:val="4"/>
              <w:spacing w:line="246" w:lineRule="exact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Обучаемый код (AM)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581" w:type="dxa"/>
          </w:tcPr>
          <w:p>
            <w:pPr>
              <w:pStyle w:val="4"/>
              <w:spacing w:before="67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Габариты</w:t>
            </w:r>
          </w:p>
        </w:tc>
        <w:tc>
          <w:tcPr>
            <w:tcW w:w="5164" w:type="dxa"/>
          </w:tcPr>
          <w:p>
            <w:pPr>
              <w:pStyle w:val="4"/>
              <w:spacing w:before="67"/>
              <w:ind w:left="2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51</w:t>
            </w: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*10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*1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0мм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745" w:type="dxa"/>
            <w:gridSpan w:val="2"/>
          </w:tcPr>
          <w:p>
            <w:pPr>
              <w:pStyle w:val="4"/>
              <w:spacing w:line="317" w:lineRule="exact"/>
              <w:ind w:left="2751" w:right="2746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332C2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Arial" w:hAnsi="Arial" w:cs="Arial"/>
                <w:b/>
                <w:color w:val="332C2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color w:val="332C2A"/>
                <w:sz w:val="21"/>
                <w:szCs w:val="21"/>
              </w:rPr>
              <w:t>Кнопочная панель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81" w:type="dxa"/>
          </w:tcPr>
          <w:p>
            <w:pPr>
              <w:pStyle w:val="4"/>
              <w:spacing w:before="30"/>
              <w:ind w:left="405" w:right="-1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Рабочее</w:t>
            </w:r>
            <w:r>
              <w:rPr>
                <w:rFonts w:hint="default" w:ascii="Arial" w:hAnsi="Arial" w:cs="Arial"/>
                <w:color w:val="332C2A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напряжение</w:t>
            </w:r>
          </w:p>
        </w:tc>
        <w:tc>
          <w:tcPr>
            <w:tcW w:w="5164" w:type="dxa"/>
          </w:tcPr>
          <w:p>
            <w:pPr>
              <w:pStyle w:val="4"/>
              <w:spacing w:before="30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DC12В/</w:t>
            </w:r>
            <w:r>
              <w:rPr>
                <w:rFonts w:hint="default" w:ascii="Arial" w:hAnsi="Arial" w:eastAsia="宋体" w:cs="Arial"/>
                <w:color w:val="332C2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A адаптер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81" w:type="dxa"/>
          </w:tcPr>
          <w:p>
            <w:pPr>
              <w:pStyle w:val="4"/>
              <w:spacing w:before="104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Рабочая частота</w:t>
            </w:r>
          </w:p>
        </w:tc>
        <w:tc>
          <w:tcPr>
            <w:tcW w:w="5164" w:type="dxa"/>
          </w:tcPr>
          <w:p>
            <w:pPr>
              <w:pStyle w:val="4"/>
              <w:spacing w:before="104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433,92MГц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81" w:type="dxa"/>
            <w:shd w:val="clear" w:color="auto" w:fill="F1F1F1"/>
          </w:tcPr>
          <w:p>
            <w:pPr>
              <w:pStyle w:val="4"/>
              <w:spacing w:before="2" w:line="252" w:lineRule="exact"/>
              <w:ind w:left="405" w:right="76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Ток в режиме ожидания</w:t>
            </w:r>
          </w:p>
        </w:tc>
        <w:tc>
          <w:tcPr>
            <w:tcW w:w="5164" w:type="dxa"/>
          </w:tcPr>
          <w:p>
            <w:pPr>
              <w:pStyle w:val="4"/>
              <w:spacing w:before="110" w:line="234" w:lineRule="exact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24±5мA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8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2C2A"/>
                <w:kern w:val="0"/>
                <w:sz w:val="21"/>
                <w:szCs w:val="21"/>
                <w:lang w:val="en-US" w:eastAsia="zh-CN" w:bidi="ar"/>
              </w:rPr>
              <w:t xml:space="preserve">Ток при передаче </w:t>
            </w:r>
          </w:p>
          <w:p>
            <w:pPr>
              <w:pStyle w:val="4"/>
              <w:spacing w:line="179" w:lineRule="exact"/>
              <w:ind w:left="405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5164" w:type="dxa"/>
          </w:tcPr>
          <w:p>
            <w:pPr>
              <w:pStyle w:val="4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2581" w:type="dxa"/>
            <w:vMerge w:val="continue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5164" w:type="dxa"/>
          </w:tcPr>
          <w:p>
            <w:pPr>
              <w:pStyle w:val="4"/>
              <w:spacing w:line="146" w:lineRule="exact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100±30мA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1" w:type="dxa"/>
          </w:tcPr>
          <w:p>
            <w:pPr>
              <w:pStyle w:val="4"/>
              <w:spacing w:before="75"/>
              <w:ind w:left="405" w:right="828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Устройство кодирования</w:t>
            </w:r>
          </w:p>
        </w:tc>
        <w:tc>
          <w:tcPr>
            <w:tcW w:w="5164" w:type="dxa"/>
          </w:tcPr>
          <w:p>
            <w:pPr>
              <w:pStyle w:val="4"/>
              <w:spacing w:before="202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Обучаемый код (AM)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581" w:type="dxa"/>
          </w:tcPr>
          <w:p>
            <w:pPr>
              <w:pStyle w:val="4"/>
              <w:spacing w:before="26"/>
              <w:ind w:left="40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2C2A"/>
                <w:sz w:val="21"/>
                <w:szCs w:val="21"/>
              </w:rPr>
              <w:t>Габариты</w:t>
            </w:r>
          </w:p>
        </w:tc>
        <w:tc>
          <w:tcPr>
            <w:tcW w:w="5164" w:type="dxa"/>
          </w:tcPr>
          <w:p>
            <w:pPr>
              <w:pStyle w:val="4"/>
              <w:spacing w:before="26"/>
              <w:ind w:left="184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15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*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234</w:t>
            </w: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*3</w:t>
            </w:r>
            <w:r>
              <w:rPr>
                <w:rFonts w:hint="default" w:ascii="Arial" w:hAnsi="Arial" w:eastAsia="宋体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6мм</w:t>
            </w:r>
          </w:p>
        </w:tc>
      </w:tr>
    </w:tbl>
    <w:p>
      <w:pPr>
        <w:jc w:val="both"/>
        <w:rPr>
          <w:rFonts w:hint="default" w:ascii="Arial" w:hAnsi="Arial" w:cs="Arial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spacing w:before="89"/>
        <w:ind w:left="352" w:right="0" w:firstLine="0"/>
        <w:jc w:val="both"/>
        <w:rPr>
          <w:rFonts w:hint="default" w:ascii="Arial" w:hAnsi="Arial" w:cs="Arial"/>
          <w:b/>
          <w:bCs w:val="0"/>
          <w:color w:val="332C2A"/>
          <w:sz w:val="28"/>
          <w:szCs w:val="28"/>
        </w:rPr>
      </w:pPr>
      <w:r>
        <w:rPr>
          <w:rFonts w:hint="default" w:ascii="Arial" w:hAnsi="Arial" w:cs="Arial"/>
          <w:b/>
          <w:bCs w:val="0"/>
          <w:color w:val="332C2A"/>
          <w:sz w:val="28"/>
          <w:szCs w:val="28"/>
        </w:rPr>
        <w:t>Схема кнопочной панели</w:t>
      </w:r>
    </w:p>
    <w:p>
      <w:pPr>
        <w:jc w:val="both"/>
      </w:pPr>
      <w:r>
        <w:drawing>
          <wp:inline distT="0" distB="0" distL="114300" distR="114300">
            <wp:extent cx="5273040" cy="46482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32"/>
          <w:szCs w:val="32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lang w:val="en-US"/>
        </w:rPr>
        <w:t>Схема приемника</w:t>
      </w:r>
    </w:p>
    <w:p>
      <w:pPr>
        <w:jc w:val="both"/>
        <w:rPr>
          <w:rFonts w:hint="default" w:ascii="Arial" w:hAnsi="Arial" w:cs="Arial"/>
          <w:b/>
          <w:bCs/>
          <w:sz w:val="32"/>
          <w:szCs w:val="32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lang w:val="en-US"/>
        </w:rPr>
        <w:drawing>
          <wp:inline distT="0" distB="0" distL="114300" distR="114300">
            <wp:extent cx="5269230" cy="2350135"/>
            <wp:effectExtent l="0" t="0" r="7620" b="12065"/>
            <wp:docPr id="6" name="图片 6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Arial" w:hAnsi="Arial" w:cs="Arial"/>
          <w:b/>
          <w:bCs w:val="0"/>
          <w:color w:val="332C2A"/>
          <w:sz w:val="28"/>
          <w:szCs w:val="28"/>
        </w:rPr>
      </w:pPr>
      <w:r>
        <w:rPr>
          <w:rFonts w:hint="default" w:ascii="Arial" w:hAnsi="Arial" w:cs="Arial"/>
          <w:b/>
          <w:bCs w:val="0"/>
          <w:color w:val="332C2A"/>
          <w:sz w:val="28"/>
          <w:szCs w:val="28"/>
        </w:rPr>
        <w:t>Инструкции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1. Используйте Операцию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Сначала подключите хост к источнику питания с помощью адаптера, затем вставьте приемник в гнездо зарядного устройства. Пожалуйста, запрограммируйте пейджеры с базой клавиатуры по крайней мере через 10 минут зарядки.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2. Как программировать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Нажмите кнопку B при включении питания, загорятся оба светодиода - LED2 и LED5. Затем введите номер на клавиатуре и нажмите “ПОЗВОНИТЬ". Приемник дважды подает звуковой сигнал, указывающий на завершение программы.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3. Измените номер Получателя пейджера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Повторите шаг 2, исходный номер будет заменен новым номером. Предыдущий номер будет удален.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4. Напомните Время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Время напоминания приемника пейджера составляет 30 секунд.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5. Включение/ВЫКЛЮЧЕНИЕ питания приемника пейджера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Удерживайте кнопку B до тех пор, пока приемник пейджера не начнет вибрировать и индикатор не погаснет, затем отпустите, питание приемника пейджера выключено. Нажмите кнопку B или вставьте приемник пейджера, чтобы оба хоста могли снова включить питание.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Введите 999 на хосте и нажмите кнопку “ВЫЗОВ”, все приемники пейджеров для зарядки будут выключены. Отключите питание хоста и снова включите питание, все приемники пейджеров для зарядки будут включены.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6. Измените режим вызова пейджеров на беззвучный режим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Когда пейджеры находятся в состоянии зарядки, нажмите кнопку “998” и кнопку вызова на клавиатуре. Пейджеры в состоянии зарядки теперь находятся в беззвучном режиме, они мигают и вибрируют только при вызове их с клавиатуры. Нажмите кнопку "997" и кнопку вызова на клавиатуре. Режим вызова пейджеров, которые в состоянии зарядки изменятся на режим вызова. Когда вы вызываете их с клавиатуры, пейджеры мигают, вибрируют и издают звуковой сигнал.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7. Рабочее состояние пейджерного приемника Состояние выключения питания: Все светодиоды выключены.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Состояние зарядки: СВЕТОДИОД1 всегда включен. Индикатор зарядки горит, когда батарея полностью заряжена. Состояние ожидания: мигает СВЕТОДИОД1.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  <w:t>Состояние напоминания: мигают 5 светодиодов, приемник пейджера вибрирует и подает звуковой сигнал. Нажмите кнопку A, чтобы снова приготовиться.</w:t>
      </w:r>
    </w:p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Замена листка с номером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default"/>
          <w:b w:val="0"/>
          <w:bCs w:val="0"/>
          <w:sz w:val="21"/>
          <w:szCs w:val="21"/>
          <w:lang w:val="en-US"/>
        </w:rPr>
        <w:t>Снимите прозрачную крышку с приемника, затем поместите листок с номером внутрь и установите крышку на место.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default"/>
          <w:b w:val="0"/>
          <w:bCs w:val="0"/>
          <w:sz w:val="21"/>
          <w:szCs w:val="21"/>
          <w:lang w:val="en-US"/>
        </w:rPr>
        <w:t>Примечание: Перед сопряжением уберите листок с номером из приемника</w:t>
      </w:r>
    </w:p>
    <w:p>
      <w:pPr>
        <w:jc w:val="left"/>
      </w:pPr>
      <w:r>
        <w:drawing>
          <wp:inline distT="0" distB="0" distL="114300" distR="114300">
            <wp:extent cx="5274310" cy="1536065"/>
            <wp:effectExtent l="0" t="0" r="2540" b="698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Примечание: Во время выполнения операции сопряжения сначала выньте крышку и бумагу.</w:t>
      </w:r>
    </w:p>
    <w:p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Зарядка приемника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Установите приемник в слот зарядки, замигает синий индикатор. Когда батарея будет полностью заряжена, индикатор будет гореть непрерывно.</w:t>
      </w:r>
    </w:p>
    <w:p>
      <w:pPr>
        <w:jc w:val="left"/>
        <w:rPr>
          <w:rFonts w:hint="default"/>
          <w:lang w:val="en-US"/>
        </w:rPr>
      </w:pPr>
    </w:p>
    <w:p>
      <w:pPr>
        <w:jc w:val="both"/>
        <w:rPr>
          <w:rFonts w:hint="default" w:ascii="Arial" w:hAnsi="Arial" w:cs="Arial"/>
          <w:b/>
          <w:bCs/>
          <w:color w:val="332C2A"/>
          <w:sz w:val="32"/>
          <w:szCs w:val="32"/>
        </w:rPr>
      </w:pPr>
      <w:r>
        <w:rPr>
          <w:rFonts w:hint="default" w:ascii="Arial" w:hAnsi="Arial" w:cs="Arial"/>
          <w:b/>
          <w:bCs/>
          <w:color w:val="332C2A"/>
          <w:sz w:val="32"/>
          <w:szCs w:val="32"/>
        </w:rPr>
        <w:t>Часто задаваемые вопросы</w:t>
      </w:r>
    </w:p>
    <w:tbl>
      <w:tblPr>
        <w:tblStyle w:val="2"/>
        <w:tblW w:w="0" w:type="auto"/>
        <w:tblInd w:w="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134"/>
        <w:gridCol w:w="3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>
            <w:pPr>
              <w:pStyle w:val="4"/>
              <w:spacing w:before="136"/>
              <w:ind w:left="1082" w:right="1073"/>
              <w:jc w:val="center"/>
              <w:rPr>
                <w:sz w:val="22"/>
              </w:rPr>
            </w:pPr>
            <w:r>
              <w:rPr>
                <w:color w:val="332C2A"/>
                <w:sz w:val="22"/>
              </w:rPr>
              <w:t>Проблема</w:t>
            </w:r>
          </w:p>
        </w:tc>
        <w:tc>
          <w:tcPr>
            <w:tcW w:w="3134" w:type="dxa"/>
          </w:tcPr>
          <w:p>
            <w:pPr>
              <w:pStyle w:val="4"/>
              <w:spacing w:before="136"/>
              <w:ind w:left="1103" w:right="1095"/>
              <w:jc w:val="center"/>
              <w:rPr>
                <w:sz w:val="22"/>
              </w:rPr>
            </w:pPr>
            <w:r>
              <w:rPr>
                <w:color w:val="332C2A"/>
                <w:sz w:val="22"/>
              </w:rPr>
              <w:t>Причина</w:t>
            </w:r>
          </w:p>
        </w:tc>
        <w:tc>
          <w:tcPr>
            <w:tcW w:w="3149" w:type="dxa"/>
          </w:tcPr>
          <w:p>
            <w:pPr>
              <w:pStyle w:val="4"/>
              <w:spacing w:before="136"/>
              <w:ind w:left="1088" w:right="1075"/>
              <w:jc w:val="center"/>
              <w:rPr>
                <w:sz w:val="22"/>
              </w:rPr>
            </w:pPr>
            <w:r>
              <w:rPr>
                <w:color w:val="332C2A"/>
                <w:sz w:val="22"/>
              </w:rPr>
              <w:t>Решение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>
            <w:pPr>
              <w:pStyle w:val="4"/>
              <w:spacing w:before="140" w:line="242" w:lineRule="auto"/>
              <w:ind w:left="242" w:right="68"/>
              <w:rPr>
                <w:sz w:val="19"/>
              </w:rPr>
            </w:pPr>
            <w:r>
              <w:rPr>
                <w:color w:val="332C2A"/>
                <w:sz w:val="19"/>
              </w:rPr>
              <w:t>При включении питания не горит дисплей на кнопочной панели.</w:t>
            </w:r>
          </w:p>
        </w:tc>
        <w:tc>
          <w:tcPr>
            <w:tcW w:w="3134" w:type="dxa"/>
          </w:tcPr>
          <w:p>
            <w:pPr>
              <w:pStyle w:val="4"/>
              <w:spacing w:before="2"/>
              <w:rPr>
                <w:b/>
                <w:sz w:val="21"/>
              </w:rPr>
            </w:pPr>
          </w:p>
          <w:p>
            <w:pPr>
              <w:pStyle w:val="4"/>
              <w:ind w:left="165"/>
              <w:rPr>
                <w:sz w:val="19"/>
              </w:rPr>
            </w:pPr>
            <w:r>
              <w:rPr>
                <w:color w:val="332C2A"/>
                <w:sz w:val="19"/>
              </w:rPr>
              <w:t>Адаптер питания неисправен.</w:t>
            </w:r>
          </w:p>
        </w:tc>
        <w:tc>
          <w:tcPr>
            <w:tcW w:w="3149" w:type="dxa"/>
          </w:tcPr>
          <w:p>
            <w:pPr>
              <w:pStyle w:val="4"/>
              <w:spacing w:before="2"/>
              <w:rPr>
                <w:b/>
                <w:sz w:val="21"/>
              </w:rPr>
            </w:pPr>
          </w:p>
          <w:p>
            <w:pPr>
              <w:pStyle w:val="4"/>
              <w:ind w:left="205"/>
              <w:rPr>
                <w:sz w:val="19"/>
              </w:rPr>
            </w:pPr>
            <w:r>
              <w:rPr>
                <w:color w:val="332C2A"/>
                <w:sz w:val="19"/>
              </w:rPr>
              <w:t>Замените адаптер питания.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>
            <w:pPr>
              <w:pStyle w:val="4"/>
              <w:spacing w:before="144" w:line="235" w:lineRule="auto"/>
              <w:ind w:left="242" w:right="-33"/>
              <w:rPr>
                <w:sz w:val="19"/>
              </w:rPr>
            </w:pPr>
            <w:r>
              <w:rPr>
                <w:color w:val="332C2A"/>
                <w:sz w:val="19"/>
              </w:rPr>
              <w:t>Снижается дистанция, на которой работает</w:t>
            </w:r>
            <w:r>
              <w:rPr>
                <w:color w:val="332C2A"/>
                <w:spacing w:val="-2"/>
                <w:sz w:val="19"/>
              </w:rPr>
              <w:t xml:space="preserve"> </w:t>
            </w:r>
            <w:r>
              <w:rPr>
                <w:color w:val="332C2A"/>
                <w:sz w:val="19"/>
              </w:rPr>
              <w:t>приемник.</w:t>
            </w:r>
          </w:p>
        </w:tc>
        <w:tc>
          <w:tcPr>
            <w:tcW w:w="3134" w:type="dxa"/>
          </w:tcPr>
          <w:p>
            <w:pPr>
              <w:pStyle w:val="4"/>
              <w:spacing w:before="9"/>
              <w:rPr>
                <w:b/>
                <w:sz w:val="20"/>
              </w:rPr>
            </w:pPr>
          </w:p>
          <w:p>
            <w:pPr>
              <w:pStyle w:val="4"/>
              <w:ind w:left="165"/>
              <w:rPr>
                <w:sz w:val="19"/>
              </w:rPr>
            </w:pPr>
            <w:r>
              <w:rPr>
                <w:color w:val="332C2A"/>
                <w:sz w:val="19"/>
              </w:rPr>
              <w:t>Низкий заряд батареи.</w:t>
            </w:r>
          </w:p>
        </w:tc>
        <w:tc>
          <w:tcPr>
            <w:tcW w:w="3149" w:type="dxa"/>
            <w:tcBorders>
              <w:bottom w:val="single" w:color="FFFFFF" w:sz="18" w:space="0"/>
            </w:tcBorders>
          </w:tcPr>
          <w:p>
            <w:pPr>
              <w:pStyle w:val="4"/>
              <w:spacing w:before="9"/>
              <w:rPr>
                <w:b/>
                <w:sz w:val="20"/>
              </w:rPr>
            </w:pPr>
          </w:p>
          <w:p>
            <w:pPr>
              <w:pStyle w:val="4"/>
              <w:ind w:left="205"/>
              <w:rPr>
                <w:sz w:val="19"/>
              </w:rPr>
            </w:pPr>
            <w:r>
              <w:rPr>
                <w:color w:val="332C2A"/>
                <w:sz w:val="19"/>
              </w:rPr>
              <w:t>Вовремя заряжайте батарею.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>
            <w:pPr>
              <w:pStyle w:val="4"/>
              <w:spacing w:before="124" w:line="244" w:lineRule="auto"/>
              <w:ind w:left="242" w:right="-19"/>
              <w:rPr>
                <w:sz w:val="19"/>
              </w:rPr>
            </w:pPr>
            <w:r>
              <w:rPr>
                <w:color w:val="332C2A"/>
                <w:sz w:val="19"/>
              </w:rPr>
              <w:t>Приемник не получает сигналов с кнопочной панели.</w:t>
            </w:r>
          </w:p>
        </w:tc>
        <w:tc>
          <w:tcPr>
            <w:tcW w:w="3134" w:type="dxa"/>
          </w:tcPr>
          <w:p>
            <w:pPr>
              <w:pStyle w:val="4"/>
              <w:spacing w:before="152" w:line="211" w:lineRule="auto"/>
              <w:ind w:left="165" w:right="689"/>
              <w:rPr>
                <w:sz w:val="19"/>
              </w:rPr>
            </w:pPr>
            <w:r>
              <w:rPr>
                <w:color w:val="332C2A"/>
                <w:sz w:val="19"/>
              </w:rPr>
              <w:t>Отсутствует сопряжение; Неверный номер.</w:t>
            </w:r>
          </w:p>
        </w:tc>
        <w:tc>
          <w:tcPr>
            <w:tcW w:w="3149" w:type="dxa"/>
            <w:tcBorders>
              <w:top w:val="single" w:color="FFFFFF" w:sz="18" w:space="0"/>
              <w:bottom w:val="single" w:color="FFFFFF" w:sz="18" w:space="0"/>
            </w:tcBorders>
          </w:tcPr>
          <w:p>
            <w:pPr>
              <w:pStyle w:val="4"/>
              <w:spacing w:before="13"/>
              <w:ind w:left="205"/>
              <w:rPr>
                <w:sz w:val="19"/>
              </w:rPr>
            </w:pPr>
            <w:r>
              <w:rPr>
                <w:color w:val="332C2A"/>
                <w:sz w:val="19"/>
              </w:rPr>
              <w:t>Установите сопряжение</w:t>
            </w:r>
          </w:p>
          <w:p>
            <w:pPr>
              <w:pStyle w:val="4"/>
              <w:spacing w:before="2" w:line="224" w:lineRule="exact"/>
              <w:ind w:left="205" w:right="20"/>
              <w:rPr>
                <w:sz w:val="19"/>
              </w:rPr>
            </w:pPr>
            <w:r>
              <w:rPr>
                <w:color w:val="332C2A"/>
                <w:sz w:val="19"/>
              </w:rPr>
              <w:t>приемника с кнопочной панелью снова.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>
            <w:pPr>
              <w:pStyle w:val="4"/>
              <w:rPr>
                <w:b/>
                <w:sz w:val="19"/>
              </w:rPr>
            </w:pPr>
          </w:p>
          <w:p>
            <w:pPr>
              <w:pStyle w:val="4"/>
              <w:spacing w:before="1"/>
              <w:ind w:left="242"/>
              <w:rPr>
                <w:sz w:val="19"/>
              </w:rPr>
            </w:pPr>
            <w:r>
              <w:rPr>
                <w:color w:val="332C2A"/>
                <w:sz w:val="19"/>
              </w:rPr>
              <w:t>Забыли номер приемника.</w:t>
            </w:r>
          </w:p>
        </w:tc>
        <w:tc>
          <w:tcPr>
            <w:tcW w:w="313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single" w:color="FFFFFF" w:sz="18" w:space="0"/>
            </w:tcBorders>
          </w:tcPr>
          <w:p>
            <w:pPr>
              <w:pStyle w:val="4"/>
              <w:spacing w:before="124" w:line="235" w:lineRule="auto"/>
              <w:ind w:left="205" w:right="203"/>
              <w:rPr>
                <w:sz w:val="19"/>
              </w:rPr>
            </w:pPr>
            <w:r>
              <w:rPr>
                <w:color w:val="332C2A"/>
                <w:sz w:val="19"/>
              </w:rPr>
              <w:t>Сначала удалите сопряжение, затем установите его снова.</w:t>
            </w:r>
          </w:p>
        </w:tc>
      </w:tr>
    </w:tbl>
    <w:p>
      <w:pPr>
        <w:jc w:val="both"/>
        <w:rPr>
          <w:rFonts w:hint="default" w:ascii="Arial" w:hAnsi="Arial" w:cs="Arial"/>
          <w:b w:val="0"/>
          <w:bCs/>
          <w:color w:val="332C2A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1E1B7D32"/>
    <w:rsid w:val="1E1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2022-10-10T06:15:00Z</dcterms:created>
  <dc:creator>QQ1401549377</dc:creator>
  <cp:lastModifiedBy>QQ1401549377</cp:lastModifiedBy>
  <dcterms:modified xsi:type="dcterms:W3CDTF">2022-10-10T06:52:51Z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AD42AF9D23FC40739F864B3C1A6923C5</vt:lpwstr>
  </property>
</Properties>
</file>